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ACBDD">
      <w:pPr>
        <w:widowControl/>
        <w:spacing w:before="100" w:beforeAutospacing="1" w:after="100" w:afterAutospacing="1" w:line="400" w:lineRule="exact"/>
        <w:jc w:val="center"/>
        <w:rPr>
          <w:rFonts w:ascii="宋体" w:hAnsi="宋体" w:eastAsia="宋体" w:cs="宋体"/>
          <w:kern w:val="0"/>
          <w:sz w:val="24"/>
          <w:szCs w:val="24"/>
        </w:rPr>
      </w:pPr>
      <w:bookmarkStart w:id="0" w:name="_GoBack"/>
      <w:bookmarkEnd w:id="0"/>
      <w:r>
        <w:rPr>
          <w:rFonts w:hint="eastAsia" w:ascii="宋体" w:hAnsi="宋体" w:eastAsia="宋体" w:cs="宋体"/>
          <w:kern w:val="0"/>
          <w:sz w:val="36"/>
          <w:szCs w:val="36"/>
        </w:rPr>
        <w:t>2020年负责任矿物供应链尽职调查报告</w:t>
      </w:r>
      <w:r>
        <w:rPr>
          <w:rFonts w:ascii="宋体" w:hAnsi="宋体" w:eastAsia="宋体" w:cs="宋体"/>
          <w:kern w:val="0"/>
          <w:sz w:val="24"/>
          <w:szCs w:val="24"/>
        </w:rPr>
        <w:t> </w:t>
      </w:r>
    </w:p>
    <w:p w14:paraId="55A87B5F">
      <w:pPr>
        <w:widowControl/>
        <w:spacing w:before="100" w:beforeAutospacing="1" w:after="100" w:afterAutospacing="1" w:line="400" w:lineRule="exact"/>
        <w:jc w:val="left"/>
        <w:rPr>
          <w:rFonts w:ascii="宋体" w:hAnsi="宋体" w:eastAsia="宋体" w:cs="宋体"/>
          <w:kern w:val="0"/>
          <w:sz w:val="24"/>
          <w:szCs w:val="24"/>
        </w:rPr>
      </w:pPr>
      <w:r>
        <w:rPr>
          <w:rFonts w:hint="eastAsia" w:ascii="宋体" w:hAnsi="宋体" w:eastAsia="宋体" w:cs="宋体"/>
          <w:kern w:val="0"/>
          <w:sz w:val="24"/>
          <w:szCs w:val="24"/>
        </w:rPr>
        <w:t>一、公司简介（信息）：</w:t>
      </w:r>
    </w:p>
    <w:p w14:paraId="7111FC89">
      <w:pPr>
        <w:autoSpaceDE w:val="0"/>
        <w:spacing w:before="100" w:beforeAutospacing="1" w:after="100" w:afterAutospacing="1" w:line="400" w:lineRule="exact"/>
        <w:jc w:val="left"/>
        <w:rPr>
          <w:rFonts w:ascii="宋体" w:hAnsi="宋体" w:eastAsia="宋体" w:cs="宋体"/>
          <w:sz w:val="24"/>
          <w:szCs w:val="24"/>
        </w:rPr>
      </w:pPr>
      <w:r>
        <w:rPr>
          <w:rFonts w:hint="eastAsia" w:ascii="宋体" w:hAnsi="宋体" w:eastAsia="宋体" w:cs="宋体"/>
          <w:sz w:val="24"/>
          <w:szCs w:val="24"/>
        </w:rPr>
        <w:t>公司名称：精模电子科技（深圳）有限公司</w:t>
      </w:r>
    </w:p>
    <w:p w14:paraId="0BB9EE51">
      <w:pPr>
        <w:autoSpaceDE w:val="0"/>
        <w:spacing w:before="100" w:beforeAutospacing="1" w:after="100" w:afterAutospacing="1" w:line="400" w:lineRule="exact"/>
        <w:jc w:val="left"/>
        <w:rPr>
          <w:rFonts w:ascii="宋体" w:hAnsi="宋体" w:eastAsia="宋体" w:cs="宋体"/>
          <w:kern w:val="0"/>
          <w:sz w:val="24"/>
          <w:szCs w:val="24"/>
        </w:rPr>
      </w:pPr>
      <w:r>
        <w:rPr>
          <w:rFonts w:hint="eastAsia" w:ascii="宋体" w:hAnsi="宋体" w:eastAsia="宋体" w:cs="宋体"/>
          <w:sz w:val="24"/>
          <w:szCs w:val="24"/>
        </w:rPr>
        <w:t>注册时间：公司成立于</w:t>
      </w:r>
      <w:r>
        <w:rPr>
          <w:rFonts w:hint="eastAsia" w:ascii="宋体" w:hAnsi="宋体" w:eastAsia="PMingLiU" w:cs="宋体"/>
          <w:sz w:val="24"/>
          <w:szCs w:val="24"/>
        </w:rPr>
        <w:t>1992</w:t>
      </w:r>
      <w:r>
        <w:rPr>
          <w:rFonts w:hint="eastAsia" w:ascii="宋体" w:hAnsi="宋体" w:eastAsia="宋体" w:cs="宋体"/>
          <w:sz w:val="24"/>
          <w:szCs w:val="24"/>
        </w:rPr>
        <w:t>年</w:t>
      </w:r>
    </w:p>
    <w:p w14:paraId="4E1252C7">
      <w:pPr>
        <w:autoSpaceDE w:val="0"/>
        <w:spacing w:before="100" w:beforeAutospacing="1" w:after="100" w:afterAutospacing="1" w:line="400" w:lineRule="exact"/>
        <w:jc w:val="left"/>
        <w:rPr>
          <w:rFonts w:ascii="宋体" w:hAnsi="宋体" w:eastAsia="宋体" w:cs="宋体"/>
          <w:sz w:val="24"/>
          <w:szCs w:val="24"/>
        </w:rPr>
      </w:pPr>
      <w:r>
        <w:rPr>
          <w:rFonts w:hint="eastAsia" w:ascii="宋体" w:hAnsi="宋体" w:eastAsia="宋体" w:cs="宋体"/>
          <w:sz w:val="24"/>
          <w:szCs w:val="24"/>
        </w:rPr>
        <w:t>公司地址：深圳市宝安区沙井街道新桥第三工业区</w:t>
      </w:r>
    </w:p>
    <w:p w14:paraId="76129908">
      <w:pPr>
        <w:autoSpaceDE w:val="0"/>
        <w:spacing w:before="100" w:beforeAutospacing="1" w:after="100" w:afterAutospacing="1" w:line="400" w:lineRule="exact"/>
        <w:jc w:val="left"/>
        <w:rPr>
          <w:rFonts w:ascii="宋体" w:hAnsi="宋体" w:eastAsia="宋体" w:cs="宋体"/>
        </w:rPr>
      </w:pPr>
      <w:r>
        <w:rPr>
          <w:rFonts w:hint="eastAsia" w:ascii="宋体" w:hAnsi="宋体" w:eastAsia="宋体" w:cs="宋体"/>
          <w:sz w:val="24"/>
          <w:szCs w:val="24"/>
        </w:rPr>
        <w:t>公司主要生产手提电脑键盘、台式电脑键盘，产品远销世界各地，是全球第一大</w:t>
      </w:r>
      <w:r>
        <w:rPr>
          <w:rFonts w:hint="eastAsia" w:ascii="宋体" w:hAnsi="宋体" w:eastAsia="宋体" w:cs="宋体"/>
        </w:rPr>
        <w:t>手提式电脑键盘供货商。</w:t>
      </w:r>
    </w:p>
    <w:p w14:paraId="0BD690D5">
      <w:pPr>
        <w:autoSpaceDE w:val="0"/>
        <w:spacing w:before="100" w:beforeAutospacing="1" w:after="100" w:afterAutospacing="1" w:line="400" w:lineRule="exact"/>
        <w:jc w:val="left"/>
        <w:rPr>
          <w:rFonts w:ascii="宋体" w:hAnsi="宋体" w:eastAsia="宋体" w:cs="宋体"/>
          <w:kern w:val="0"/>
          <w:sz w:val="24"/>
          <w:szCs w:val="24"/>
        </w:rPr>
      </w:pPr>
      <w:r>
        <w:rPr>
          <w:rFonts w:hint="eastAsia" w:ascii="宋体" w:hAnsi="宋体" w:eastAsia="宋体" w:cs="宋体"/>
          <w:sz w:val="24"/>
          <w:szCs w:val="24"/>
        </w:rPr>
        <w:t>二、公司负责任矿产供应链政策（所有来源）</w:t>
      </w:r>
    </w:p>
    <w:p w14:paraId="78A5E1AF">
      <w:pPr>
        <w:autoSpaceDE w:val="0"/>
        <w:spacing w:before="100" w:beforeAutospacing="1" w:after="100" w:afterAutospacing="1" w:line="400" w:lineRule="exact"/>
        <w:jc w:val="left"/>
        <w:rPr>
          <w:rFonts w:ascii="宋体" w:hAnsi="宋体" w:eastAsia="PMingLiU" w:cs="宋体"/>
          <w:sz w:val="24"/>
          <w:szCs w:val="24"/>
        </w:rPr>
      </w:pPr>
      <w:r>
        <w:rPr>
          <w:rFonts w:hint="eastAsia" w:ascii="宋体" w:hAnsi="宋体" w:eastAsia="宋体" w:cs="宋体"/>
          <w:sz w:val="24"/>
          <w:szCs w:val="24"/>
        </w:rPr>
        <w:t xml:space="preserve">  精模电子一直严格遵守并完全遵从OECD关于来自受冲突影响和高风险区域的矿物的负责任供应链尽职调查指南，按照指南和要求，为避免使用直接或间接为武装提供资金或使他们得益的冲突矿物或涉及在高风险和受冲突影响地区进行其他严重侵犯人权行为的冲突矿物</w:t>
      </w:r>
      <w:r>
        <w:rPr>
          <w:rFonts w:hint="eastAsia" w:ascii="宋体" w:hAnsi="宋体" w:eastAsia="PMingLiU" w:cs="宋体"/>
          <w:sz w:val="24"/>
          <w:szCs w:val="24"/>
        </w:rPr>
        <w:t>。</w:t>
      </w:r>
    </w:p>
    <w:p w14:paraId="06ACF25F">
      <w:pPr>
        <w:autoSpaceDE w:val="0"/>
        <w:spacing w:before="100" w:beforeAutospacing="1" w:after="100" w:afterAutospacing="1" w:line="400" w:lineRule="exact"/>
        <w:ind w:firstLine="240" w:firstLineChars="100"/>
        <w:jc w:val="left"/>
        <w:rPr>
          <w:rFonts w:ascii="宋体" w:hAnsi="宋体" w:eastAsia="宋体" w:cs="宋体"/>
          <w:kern w:val="0"/>
          <w:sz w:val="24"/>
          <w:szCs w:val="24"/>
        </w:rPr>
      </w:pPr>
      <w:r>
        <w:rPr>
          <w:rFonts w:hint="eastAsia" w:ascii="宋体" w:hAnsi="宋体" w:eastAsia="宋体" w:cs="宋体"/>
          <w:sz w:val="24"/>
          <w:szCs w:val="24"/>
        </w:rPr>
        <w:t>精模电子制定了自己的负责任矿产供应链政策。该政策持续公告于我司的布告栏上。我们遵从OECD指南的五步框架的要求，为此我们成立了一个特殊的管理团队，该团队由总经理领导，团队成员包括公司所有高管，采购部负责人。</w:t>
      </w:r>
    </w:p>
    <w:p w14:paraId="5A171885">
      <w:pPr>
        <w:autoSpaceDE w:val="0"/>
        <w:spacing w:before="100" w:beforeAutospacing="1" w:after="100" w:afterAutospacing="1" w:line="400" w:lineRule="exact"/>
        <w:jc w:val="left"/>
        <w:rPr>
          <w:rFonts w:ascii="宋体" w:hAnsi="宋体" w:eastAsia="宋体" w:cs="宋体"/>
          <w:kern w:val="0"/>
          <w:sz w:val="24"/>
          <w:szCs w:val="24"/>
        </w:rPr>
      </w:pPr>
      <w:r>
        <w:rPr>
          <w:rFonts w:hint="eastAsia" w:ascii="宋体" w:hAnsi="宋体" w:eastAsia="宋体" w:cs="宋体"/>
          <w:sz w:val="24"/>
          <w:szCs w:val="24"/>
        </w:rPr>
        <w:t>三、公司管理体系：</w:t>
      </w:r>
    </w:p>
    <w:p w14:paraId="6C32D2D3">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1.精模电子对供应链有非常严格的管理体系，制定一系列完整的供应链控制体系，确保绝不采购和使用来自受冲突影响地区来的冲突原料，防止任何冲突和不明原料进入精模电子的供应链。我们严格恪守在供应链政策方面的承诺，并制定了以下方面的尽职调查内部程序：</w:t>
      </w:r>
    </w:p>
    <w:p w14:paraId="2F2DCF26">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2.精模电子总经理负责监督尽职调查计划和实施。</w:t>
      </w:r>
    </w:p>
    <w:p w14:paraId="0B8FA29A">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3.精模电子已任命尽职调查高级经理协调相关部门的工作，确保各部门恪尽职守，执行尽职调查计划并报告所发现的任何示警信号和潜在风险。</w:t>
      </w:r>
    </w:p>
    <w:p w14:paraId="48CA15BD">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4.精模电子按照尽职调查的要求每天对相关部门的主要人员开展一次尽职调查管理体系培训。</w:t>
      </w:r>
    </w:p>
    <w:p w14:paraId="21124F4E">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四、内部控制体系</w:t>
      </w:r>
    </w:p>
    <w:p w14:paraId="1670CEB1">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1.精模电子已向供应链上的供应商传达了最新的供应链政策和采购要求。</w:t>
      </w:r>
    </w:p>
    <w:p w14:paraId="70EA3137">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2精模电子的原材料采购声明已载于我公司的布告栏，并使每位供应商都清楚的了解我们的采购政策。</w:t>
      </w:r>
    </w:p>
    <w:p w14:paraId="2E5228BA">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3.精模电子向内部各部门下发了《</w:t>
      </w:r>
      <w:r>
        <w:rPr>
          <w:rFonts w:hint="eastAsia" w:ascii="宋体" w:hAnsi="宋体" w:eastAsia="PMingLiU" w:cs="宋体"/>
          <w:sz w:val="24"/>
          <w:szCs w:val="24"/>
        </w:rPr>
        <w:t>负</w:t>
      </w:r>
      <w:r>
        <w:rPr>
          <w:rFonts w:hint="eastAsia" w:ascii="宋体" w:hAnsi="宋体" w:eastAsia="宋体" w:cs="宋体"/>
          <w:sz w:val="24"/>
          <w:szCs w:val="24"/>
        </w:rPr>
        <w:t>责任矿产采购程序》，使每位员工都知晓并按照执行。</w:t>
      </w:r>
    </w:p>
    <w:p w14:paraId="318D9B20">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4.原材料采购的控制程序</w:t>
      </w:r>
    </w:p>
    <w:p w14:paraId="658FF809">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4.1精模电子制定并通过执行《供应商管理制度》 、《供应商调查表》 、《供应商评分表》 、《采购声明》 、《不合格品管制程序》  。阻止任何冲突原料和不明原料进入精模电子的供应链。对供应商进行尽职调查并保持持续性</w:t>
      </w:r>
    </w:p>
    <w:p w14:paraId="2C3A0D71">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4.2按照OECD指南的要求，精模电子每年对原料供应商进行尽职调查，通过对供应商的合法性、质量保证程度和符合性进行验证，作为采纳或取消其供方资格的依据。如果我们发现任何不符合项，我们将要求其整改，整改后，如果还不能满足要求，我们将立即停止从该公司采购并退回所购的不符合的原料。</w:t>
      </w:r>
    </w:p>
    <w:p w14:paraId="3D32F016">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5.广泛的大众传播渠道</w:t>
      </w:r>
    </w:p>
    <w:p w14:paraId="4A8E42A1">
      <w:pPr>
        <w:autoSpaceDE w:val="0"/>
        <w:spacing w:before="100" w:beforeAutospacing="1" w:after="100" w:afterAutospacing="1" w:line="400" w:lineRule="exact"/>
        <w:ind w:firstLine="424" w:firstLineChars="177"/>
        <w:jc w:val="left"/>
        <w:rPr>
          <w:rFonts w:ascii="宋体" w:hAnsi="宋体" w:eastAsia="宋体" w:cs="宋体"/>
          <w:kern w:val="0"/>
          <w:sz w:val="24"/>
          <w:szCs w:val="24"/>
        </w:rPr>
      </w:pPr>
      <w:r>
        <w:rPr>
          <w:rFonts w:hint="eastAsia" w:ascii="宋体" w:hAnsi="宋体" w:eastAsia="宋体" w:cs="宋体"/>
          <w:sz w:val="24"/>
          <w:szCs w:val="24"/>
        </w:rPr>
        <w:t>5.1精模电子通过对原料供应商的尽职调查，向所有供应商宣传“对受冲突影响地区和高风险地区矿物负责任的供应链的尽职调查指南”、RMAP评估标准。同时提醒和督促供应链上供应商合规合法经营，不经营任何冲突原料和来历不明的原料。所有供应商承诺所供原来为“负责任矿物”</w:t>
      </w:r>
    </w:p>
    <w:p w14:paraId="4105A836">
      <w:pPr>
        <w:autoSpaceDE w:val="0"/>
        <w:spacing w:before="100" w:beforeAutospacing="1" w:after="100" w:afterAutospacing="1" w:line="400" w:lineRule="exact"/>
        <w:ind w:firstLine="480" w:firstLineChars="200"/>
        <w:jc w:val="left"/>
        <w:rPr>
          <w:rFonts w:ascii="宋体" w:hAnsi="宋体" w:eastAsia="PMingLiU" w:cs="宋体"/>
          <w:sz w:val="24"/>
          <w:szCs w:val="24"/>
        </w:rPr>
      </w:pPr>
      <w:r>
        <w:rPr>
          <w:rFonts w:ascii="宋体" w:hAnsi="宋体" w:eastAsia="宋体" w:cs="宋体"/>
          <w:kern w:val="0"/>
          <w:sz w:val="24"/>
          <w:szCs w:val="24"/>
        </w:rPr>
        <w:t> </w:t>
      </w:r>
      <w:r>
        <w:rPr>
          <w:rFonts w:hint="eastAsia" w:ascii="宋体" w:hAnsi="宋体" w:eastAsia="宋体" w:cs="宋体"/>
          <w:sz w:val="24"/>
          <w:szCs w:val="24"/>
        </w:rPr>
        <w:t>5.2建立申诉通道，精模电子于公司网站向社会开通申诉通道。</w:t>
      </w:r>
    </w:p>
    <w:p w14:paraId="4FE83F0D">
      <w:pPr>
        <w:autoSpaceDE w:val="0"/>
        <w:spacing w:before="100" w:beforeAutospacing="1" w:after="100" w:afterAutospacing="1" w:line="400" w:lineRule="exact"/>
        <w:ind w:firstLine="960" w:firstLineChars="400"/>
        <w:jc w:val="left"/>
        <w:rPr>
          <w:rFonts w:ascii="宋体" w:hAnsi="宋体" w:eastAsia="PMingLiU" w:cs="宋体"/>
          <w:kern w:val="0"/>
          <w:sz w:val="24"/>
          <w:szCs w:val="24"/>
          <w:lang w:eastAsia="zh-TW"/>
        </w:rPr>
      </w:pPr>
      <w:r>
        <w:rPr>
          <w:rFonts w:ascii="宋体" w:hAnsi="宋体" w:eastAsia="PMingLiU" w:cs="宋体"/>
          <w:kern w:val="0"/>
          <w:sz w:val="24"/>
          <w:szCs w:val="24"/>
          <w:lang w:eastAsia="zh-TW"/>
        </w:rPr>
        <w:t>http://www.jme.com.cn/about.aspx?id=26</w:t>
      </w:r>
    </w:p>
    <w:p w14:paraId="7D5E80DD">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五、风险识别</w:t>
      </w:r>
    </w:p>
    <w:p w14:paraId="682230E3">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1.公司设计了一套了解你的交易方（kyc）表格，并收集了相关的支持文件。我们供应商已完成并返回了表格。公司尽职调查</w:t>
      </w:r>
      <w:r>
        <w:rPr>
          <w:rFonts w:hint="eastAsia" w:ascii="宋体" w:hAnsi="宋体" w:eastAsia="PMingLiU" w:cs="宋体"/>
          <w:sz w:val="24"/>
          <w:szCs w:val="24"/>
        </w:rPr>
        <w:t>主管</w:t>
      </w:r>
      <w:r>
        <w:rPr>
          <w:rFonts w:hint="eastAsia" w:ascii="宋体" w:hAnsi="宋体" w:eastAsia="宋体" w:cs="宋体"/>
          <w:sz w:val="24"/>
          <w:szCs w:val="24"/>
        </w:rPr>
        <w:t>与采购部一起审查了提供的信息和联合国制裁名单。只要在KYC表格中发现不一致、错误或不完整信息，公司将要求他们改进。在本报告期间，没有发现与所提交的KYC表格相关的示警信号。</w:t>
      </w:r>
    </w:p>
    <w:p w14:paraId="6F94A141">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2.对每一笔交易，精模电子要求供应商提供合同和整套追溯单据。</w:t>
      </w:r>
    </w:p>
    <w:p w14:paraId="12486D2D">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3.公司设有相应的流程来识别供应链中的风险，制定了识别 CAHRA 的程序。程序包括使用的资源、确定“受冲突影响和高风险”地区的标准以及我们检讨决定的频率。</w:t>
      </w:r>
    </w:p>
    <w:p w14:paraId="69C98BB2">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六、风险降低（仅高风险采购）</w:t>
      </w:r>
    </w:p>
    <w:p w14:paraId="7ABDB2A8">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针对高风险供应链评估结果，公司要求采购部门及时采取以下的风险缓解措施进行风险管控：</w:t>
      </w:r>
    </w:p>
    <w:p w14:paraId="78C8D6DD">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1. 向公司高级管理人员汇报高风险供应链调查评估结果，说明高风险供应链的相关信息、实际和潜在风险。</w:t>
      </w:r>
    </w:p>
    <w:p w14:paraId="4148DCB3">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2. 按公司的供应链政策风险管理策略，制定和实施风险管理计划。对存在的风险要制定和实施有效的缓解措施，并与供应商和受影响的相关方商议达成一致。风险降低策略包括：在整个可衡量风险管理过程中继续开展贸易、在不断降低风险的同时暂时中止贸易、在风险降低措施不可行或无法接受的情况下终止与供应商的合作。</w:t>
      </w:r>
    </w:p>
    <w:p w14:paraId="09CD4C82">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3. 持续监控风险，风险情况产生变化后，再次进行评估。</w:t>
      </w:r>
    </w:p>
    <w:p w14:paraId="5B7041AE">
      <w:pPr>
        <w:autoSpaceDE w:val="0"/>
        <w:spacing w:before="100" w:beforeAutospacing="1" w:after="100" w:afterAutospacing="1" w:line="40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20</w:t>
      </w:r>
      <w:r>
        <w:rPr>
          <w:rFonts w:hint="eastAsia" w:ascii="宋体" w:hAnsi="宋体" w:eastAsia="PMingLiU" w:cs="宋体"/>
          <w:sz w:val="24"/>
          <w:szCs w:val="24"/>
        </w:rPr>
        <w:t>21</w:t>
      </w:r>
      <w:r>
        <w:rPr>
          <w:rFonts w:hint="eastAsia" w:ascii="宋体" w:hAnsi="宋体" w:eastAsia="宋体" w:cs="宋体"/>
          <w:sz w:val="24"/>
          <w:szCs w:val="24"/>
        </w:rPr>
        <w:t>-</w:t>
      </w:r>
      <w:r>
        <w:rPr>
          <w:rFonts w:hint="eastAsia" w:ascii="宋体" w:hAnsi="宋体" w:eastAsia="PMingLiU" w:cs="宋体"/>
          <w:sz w:val="24"/>
          <w:szCs w:val="24"/>
        </w:rPr>
        <w:t>1</w:t>
      </w:r>
      <w:r>
        <w:rPr>
          <w:rFonts w:hint="eastAsia" w:ascii="宋体" w:hAnsi="宋体" w:eastAsia="宋体" w:cs="宋体"/>
          <w:sz w:val="24"/>
          <w:szCs w:val="24"/>
        </w:rPr>
        <w:t>-1至202</w:t>
      </w:r>
      <w:r>
        <w:rPr>
          <w:rFonts w:hint="eastAsia" w:ascii="宋体" w:hAnsi="宋体" w:eastAsia="PMingLiU" w:cs="宋体"/>
          <w:sz w:val="24"/>
          <w:szCs w:val="24"/>
        </w:rPr>
        <w:t>1</w:t>
      </w:r>
      <w:r>
        <w:rPr>
          <w:rFonts w:hint="eastAsia" w:ascii="宋体" w:hAnsi="宋体" w:eastAsia="宋体" w:cs="宋体"/>
          <w:sz w:val="24"/>
          <w:szCs w:val="24"/>
        </w:rPr>
        <w:t>-</w:t>
      </w:r>
      <w:r>
        <w:rPr>
          <w:rFonts w:hint="eastAsia" w:ascii="宋体" w:hAnsi="宋体" w:eastAsia="PMingLiU" w:cs="宋体"/>
          <w:sz w:val="24"/>
          <w:szCs w:val="24"/>
        </w:rPr>
        <w:t>12</w:t>
      </w:r>
      <w:r>
        <w:rPr>
          <w:rFonts w:hint="eastAsia" w:ascii="宋体" w:hAnsi="宋体" w:eastAsia="宋体" w:cs="宋体"/>
          <w:sz w:val="24"/>
          <w:szCs w:val="24"/>
        </w:rPr>
        <w:t>-</w:t>
      </w:r>
      <w:r>
        <w:rPr>
          <w:rFonts w:hint="eastAsia" w:ascii="宋体" w:hAnsi="宋体" w:eastAsia="PMingLiU" w:cs="宋体"/>
          <w:sz w:val="24"/>
          <w:szCs w:val="24"/>
          <w:lang w:eastAsia="zh-TW"/>
        </w:rPr>
        <w:t>3</w:t>
      </w:r>
      <w:r>
        <w:rPr>
          <w:rFonts w:hint="eastAsia" w:ascii="宋体" w:hAnsi="宋体" w:eastAsia="宋体" w:cs="宋体"/>
          <w:sz w:val="24"/>
          <w:szCs w:val="24"/>
        </w:rPr>
        <w:t>1本公司无高风险采购</w:t>
      </w:r>
    </w:p>
    <w:p w14:paraId="7B4D0552"/>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roman"/>
    <w:pitch w:val="default"/>
    <w:sig w:usb0="A00002FF" w:usb1="28CFFCFA" w:usb2="00000016"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6E3A7">
    <w:pPr>
      <w:pStyle w:val="4"/>
      <w:ind w:left="-1134" w:leftChars="-540"/>
      <w:jc w:val="left"/>
      <w:rPr>
        <w:rFonts w:eastAsia="PMingLiU"/>
        <w:lang w:eastAsia="zh-TW"/>
      </w:rPr>
    </w:pPr>
    <w:r>
      <w:drawing>
        <wp:inline distT="0" distB="0" distL="0" distR="0">
          <wp:extent cx="1531620" cy="37719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1531754" cy="377223"/>
                  </a:xfrm>
                  <a:prstGeom prst="rect">
                    <a:avLst/>
                  </a:prstGeom>
                </pic:spPr>
              </pic:pic>
            </a:graphicData>
          </a:graphic>
        </wp:inline>
      </w:drawing>
    </w:r>
    <w:r>
      <w:rPr>
        <w:rFonts w:hint="eastAsia" w:eastAsia="PMingLiU"/>
        <w:lang w:eastAsia="zh-TW"/>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B57"/>
    <w:rsid w:val="00064518"/>
    <w:rsid w:val="00163645"/>
    <w:rsid w:val="001C6F0B"/>
    <w:rsid w:val="00203122"/>
    <w:rsid w:val="00286CC6"/>
    <w:rsid w:val="004E09DC"/>
    <w:rsid w:val="0063526F"/>
    <w:rsid w:val="006D0D50"/>
    <w:rsid w:val="0085693E"/>
    <w:rsid w:val="009301D3"/>
    <w:rsid w:val="0096652D"/>
    <w:rsid w:val="00B21B19"/>
    <w:rsid w:val="00B8027A"/>
    <w:rsid w:val="00B920FB"/>
    <w:rsid w:val="00EA6B57"/>
    <w:rsid w:val="00F5114B"/>
    <w:rsid w:val="00FB46A6"/>
    <w:rsid w:val="71594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jlqj4b"/>
    <w:basedOn w:val="7"/>
    <w:uiPriority w:val="0"/>
  </w:style>
  <w:style w:type="character" w:customStyle="1" w:styleId="9">
    <w:name w:val="页眉 Char"/>
    <w:basedOn w:val="7"/>
    <w:link w:val="4"/>
    <w:uiPriority w:val="99"/>
    <w:rPr>
      <w:sz w:val="18"/>
      <w:szCs w:val="18"/>
    </w:rPr>
  </w:style>
  <w:style w:type="character" w:customStyle="1" w:styleId="10">
    <w:name w:val="页脚 Char"/>
    <w:basedOn w:val="7"/>
    <w:link w:val="3"/>
    <w:uiPriority w:val="99"/>
    <w:rPr>
      <w:sz w:val="18"/>
      <w:szCs w:val="18"/>
    </w:rPr>
  </w:style>
  <w:style w:type="character" w:customStyle="1" w:styleId="11">
    <w:name w:val="批注框文本 Char"/>
    <w:basedOn w:val="7"/>
    <w:link w:val="2"/>
    <w:semiHidden/>
    <w:uiPriority w:val="99"/>
    <w:rPr>
      <w:sz w:val="18"/>
      <w:szCs w:val="18"/>
    </w:rPr>
  </w:style>
  <w:style w:type="paragraph" w:styleId="12">
    <w:name w:val="List Paragraph"/>
    <w:basedOn w:val="1"/>
    <w:qFormat/>
    <w:uiPriority w:val="34"/>
    <w:pPr>
      <w:ind w:firstLine="420" w:firstLineChars="200"/>
    </w:pPr>
  </w:style>
  <w:style w:type="character" w:customStyle="1" w:styleId="13">
    <w:name w:val="markedcontent"/>
    <w:basedOn w:val="7"/>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1673</Words>
  <Characters>1776</Characters>
  <Lines>12</Lines>
  <Paragraphs>3</Paragraphs>
  <TotalTime>0</TotalTime>
  <ScaleCrop>false</ScaleCrop>
  <LinksUpToDate>false</LinksUpToDate>
  <CharactersWithSpaces>1791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2022-01-13T06:13:00Z</dcterms:created>
  <dc:creator>admin</dc:creator>
  <cp:lastModifiedBy>千年老妖</cp:lastModifiedBy>
  <dcterms:modified xsi:type="dcterms:W3CDTF">2026-05-15T01:21:43Z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5809769C465945BEADA16A7D6EA48F0F_13</vt:lpwstr>
  </property>
</Properties>
</file>